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tabs>
          <w:tab w:val="clear" w:pos="708"/>
          <w:tab w:val="left" w:pos="284" w:leader="none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1 </w:t>
      </w:r>
    </w:p>
    <w:p>
      <w:pPr>
        <w:pStyle w:val="ConsPlusNormal"/>
        <w:tabs>
          <w:tab w:val="clear" w:pos="708"/>
          <w:tab w:val="left" w:pos="284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государственной программе</w:t>
      </w:r>
    </w:p>
    <w:p>
      <w:pPr>
        <w:pStyle w:val="ConsPlusNormal"/>
        <w:tabs>
          <w:tab w:val="clear" w:pos="708"/>
          <w:tab w:val="left" w:pos="284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«Охрана окружающей среды,</w:t>
      </w:r>
    </w:p>
    <w:p>
      <w:pPr>
        <w:pStyle w:val="ConsPlusNormal"/>
        <w:tabs>
          <w:tab w:val="clear" w:pos="708"/>
          <w:tab w:val="left" w:pos="284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воспроизводство и использование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40" w:before="0" w:after="0"/>
        <w:ind w:left="4956" w:hanging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>природных ресурсов Брянской области»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40" w:before="0" w:after="0"/>
        <w:jc w:val="center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84" w:leader="none"/>
        </w:tabs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Методика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расчета значений показателей (индикаторов) государственной программы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«Охрана окружающей среды, воспроизводство и использование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природных ресурсов и экологии Брянской области»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Показатели (индикаторы), характеризующие конечные результаты реализации государственной программы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Динамика численности охотничьих ресурсов к предыдущему отчетному периоду (P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P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P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P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P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численность охотничьих ресурсов (по видам) в отчетном периоде, голов;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P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численность охотничьих ресурсов (по видам) в предыдущем отчетном периоде, голов.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Источником данных являются результаты соответствующих учетных мероприятий, проводимых ежегодно.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гидротехнических сооружений, в том числе бесхозяйных,</w:t>
        <w:br/>
        <w:t>на территории субъекта Российской Федерации, уровень безопасности которых оценивается как неудовлетворительный, опасный, приведенных</w:t>
        <w:br/>
        <w:t>в безопасное техническое состояние, (E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по формуле: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E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E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E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E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гидротехнических сооружений, в том числе бесхозяйных,</w:t>
        <w:br/>
        <w:t>на территории субъекта Российской Федерации, уровень безопасности которых оценивается как неудовлетворительный, опасный, приведенных</w:t>
        <w:br/>
        <w:t>в безопасное состояние;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E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гидротехнических сооружений, в том числе бесхозяйных,</w:t>
        <w:br/>
        <w:t>на территории субъекта Российской Федерации, уровень безопасности которых оценивается как неудовлетворительный, опасный.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Источником данных является ежегодно заключаемое с Росводресурсами соглашение о предоставлении бюджету Брянской области субсидий</w:t>
        <w:br/>
        <w:t>в целях софинансирования мероприятий государственных программ субъектов Российской Федерации в области использования и охраны водных объектов</w:t>
        <w:br/>
        <w:t>в рамках реализации государственной программы Российской Федерации «Воспроизводство и использование природных ресурсов».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населения, проживающего на защищенной в результате проведения противопаводковых мероприятий территории, в общей численности населения, проживающего на территории Брянской области, подверженной негативному воздействию вод, (N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нарастающим итогом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Cs/>
          <w:sz w:val="28"/>
          <w:szCs w:val="28"/>
          <w:lang w:val="en-US"/>
        </w:rPr>
        <w:t>N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x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= (N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y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+ N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z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>) / N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o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x 100%, </w:t>
      </w:r>
      <w:r>
        <w:rPr>
          <w:rFonts w:cs="Times New Roman" w:ascii="Times New Roman" w:hAnsi="Times New Roman"/>
          <w:bCs/>
          <w:sz w:val="28"/>
          <w:szCs w:val="28"/>
        </w:rPr>
        <w:t>где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>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Cs/>
          <w:sz w:val="28"/>
          <w:szCs w:val="28"/>
          <w:lang w:val="en-US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N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по состоянию на конец периода, предшествующего отчетному, тыс. чел.;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N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</w:t>
        <w:br/>
        <w:t>в отчетном периоде, тыс. чел.;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N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o</w:t>
      </w:r>
      <w:r>
        <w:rPr>
          <w:rFonts w:cs="Times New Roman" w:ascii="Times New Roman" w:hAnsi="Times New Roman"/>
          <w:bCs/>
          <w:sz w:val="28"/>
          <w:szCs w:val="28"/>
        </w:rPr>
        <w:t xml:space="preserve"> - численность населения, проживающего на подверженных негативному воздействию вод территориях, тыс. чел.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Исполнение плана по администрируемым доходным источникам (A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A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A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A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A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объем фактически поступивших в бюджет доходов, тыс. рублей;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A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плановый объем поступивших в бюджет доходов, тыс. рублей.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(Источником данных является ежегодная бухгалтерская отчетность).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Показатели (индикаторы), характеризующие реализацию основных мероприятий (проектов) государственной программы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Ликвидированы все выявленные на 1 января 2018 г. несанкционированные свалки в границах городов, показатель определяется количеством ликвидированных и рекультивированных объектов размещения отходов</w:t>
        <w:br/>
        <w:t>в пределах населенных пунктов Брянской области нарастающим итогом, шт.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sz w:val="28"/>
          <w:szCs w:val="28"/>
        </w:rPr>
        <w:t>Численность населения, качество жизни которого улучшится в связи</w:t>
        <w:br/>
        <w:t>с ликвидацией выявленных на 1 января 2018 г. несанкционированных свалок</w:t>
        <w:br/>
        <w:t>в границах городов и наиболее опасных объектов накопленного экологического ущерба, определяется количественным подсчетом, данными Росстата России на 1 января отчетного года, тыс. человек.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cs="Times New Roman" w:ascii="Times New Roman" w:hAnsi="Times New Roman"/>
          <w:sz w:val="28"/>
          <w:szCs w:val="28"/>
        </w:rPr>
        <w:t>Доля импорта оборудования для обработки и утилизации твердых коммунальных отходов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, (Д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О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, %),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определяется следующим образом: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 xml:space="preserve">О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= (О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общ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- О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отеч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) / О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 xml:space="preserve">общ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* 100%, где: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О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общ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 -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общая стоимость введенного в эксплуатацию оборудования</w:t>
        <w:br/>
        <w:t>для обработки и утилизации ТКО, руб.;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О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отеч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-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общая стоимость введенного в эксплуатацию отечественного оборудования для обработки и утилизации ТКО, руб..</w:t>
      </w:r>
    </w:p>
    <w:p>
      <w:pPr>
        <w:pStyle w:val="Normal"/>
        <w:tabs>
          <w:tab w:val="clear" w:pos="708"/>
          <w:tab w:val="left" w:pos="-142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</w:rPr>
        <w:tab/>
        <w:t>Источником данных по показателю (индикатору) является Соглашение с Минприроды России.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Доля направленных на захоронение твердых коммунальных отходов, в том числе прошедших обработку (сортировку), общей массе образованных твердых коммунальных отходов, (Д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н.з.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, %), определяется следующим образом:</w:t>
      </w:r>
    </w:p>
    <w:p>
      <w:pPr>
        <w:pStyle w:val="ListParagraph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н.з.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= (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з.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+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н.з.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) / (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обр.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+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перед.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)*100, где:</w:t>
      </w:r>
    </w:p>
    <w:p>
      <w:pPr>
        <w:pStyle w:val="ListParagraph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з.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– количество ТКО, захороненных на эксплкатируемых региональным оператором, операторами по обращению с ТКО, юридическими лицами с осбственными объектами размещения ТКО, оператором, не передающим отходы после обработки ТКО региональному оператору, тонн;</w:t>
      </w:r>
    </w:p>
    <w:p>
      <w:pPr>
        <w:pStyle w:val="ListParagraph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н.з.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– количество ТКО, переданных региональным оператором, операторами по обращению с ТКО, оператором, не передающим отходы после обработки ТКО региональному оператору, другим юридическим лицам и индивидуальным предпринимателям для захоронения, тонн;</w:t>
      </w:r>
    </w:p>
    <w:p>
      <w:pPr>
        <w:pStyle w:val="ListParagraph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обр.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- количество ТКО, образованных региональным оператором, операторами по обращению с ТКО, юридическими лицами с собственными объектами размещения отходов, тонн;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перед.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– количество ТКО, поступивших к региональному оператору, операторам по обращению с ТКО от юридических лиц, индивидуальных предпринимателей и населения, тонн.</w:t>
      </w:r>
    </w:p>
    <w:p>
      <w:pPr>
        <w:pStyle w:val="ListParagraph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</w:t>
        <w:br/>
        <w:t>с Минприроды России.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Доля направленных на утилизацию отходов, выделенных в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результате раздельного накопления и обработки (сортировки) твердых коммунальных отходов, в общей массе образованных твердых коммунальных отходов,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(Д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н.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y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%), определяется следующим образом: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н.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y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= (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y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+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н.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y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) / (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обр.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+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перед.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)*100, где: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y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– количество отходов, выделенных в результате раздельного накопления</w:t>
        <w:br/>
        <w:t>и обработки (сортировки) твердых коммунальных отходов, утилизированных на объектах утилизации отходов, принадлежащих региональному оператору, оператору в субъекте Российской Федерации, оператору, не передающему отходы после обработки ТКО региональному оператору, на праве собственности или иных законных основаниях, тонн;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н.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y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– количество отходов, выделенных в результате раздельного накопления и обработки твердых коммунальных отходов, переданных региональным оператором, оператором другим юридическим лицам и индивидуальным предпринимателем (операторам) для утилизации, тонн;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обр.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– количество ТКО, образованных региональным оператором, операторами по обращению с ТКО, юридическими лицами с собственными объектами размещения отходов, тонн;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перед.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– количество ТКО, поступивших к региональному оператору, операторам по обращению с ТКО от юридических лиц, индивидуальных предпринимателей и населения, тонн.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 с Минприроды России.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cs="Times New Roman" w:ascii="Times New Roman" w:hAnsi="Times New Roman"/>
          <w:sz w:val="28"/>
          <w:szCs w:val="28"/>
        </w:rPr>
        <w:t>Доля населения, охваченного услугой по обращению с твердыми коммунальными отходами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, (Д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 xml:space="preserve">суб. ,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%),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определяется следующим образом: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 xml:space="preserve">суб. 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=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ar-SA"/>
        </w:rPr>
        <w:t>К</w:t>
      </w:r>
      <w:r>
        <w:rPr>
          <w:rFonts w:eastAsia="Times New Roman" w:cs="Times New Roman" w:ascii="Times New Roman" w:hAnsi="Times New Roman"/>
          <w:sz w:val="28"/>
          <w:szCs w:val="28"/>
          <w:u w:val="single"/>
          <w:vertAlign w:val="subscript"/>
          <w:lang w:eastAsia="ar-SA"/>
        </w:rPr>
        <w:t>суб.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* 100%; где: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rPr>
          <w:rFonts w:ascii="Times New Roman" w:hAnsi="Times New Roman" w:eastAsia="Times New Roman" w:cs="Times New Roman"/>
          <w:sz w:val="28"/>
          <w:szCs w:val="28"/>
          <w:vertAlign w:val="subscript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ab/>
        <w:tab/>
        <w:tab/>
        <w:tab/>
        <w:tab/>
        <w:tab/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val="en-US" w:eastAsia="ar-SA"/>
        </w:rPr>
        <w:t>N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суб.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rPr>
          <w:rFonts w:ascii="Times New Roman" w:hAnsi="Times New Roman" w:eastAsia="Times New Roman" w:cs="Times New Roman"/>
          <w:sz w:val="28"/>
          <w:szCs w:val="28"/>
          <w:vertAlign w:val="subscript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К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суб.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– численность населения, охваченного услугой по обращению с ТКО, человек;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ar-SA"/>
        </w:rPr>
        <w:t>N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суб.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– численность населения Брянской области на 1 января года, следующего за отчетным, человек.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 с Минприроды России.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cs="Times New Roman" w:ascii="Times New Roman" w:hAnsi="Times New Roman"/>
          <w:sz w:val="28"/>
          <w:szCs w:val="28"/>
        </w:rPr>
        <w:t>Доля разработанных электронных моделей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, (Д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э.м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, в %),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определяется следующим образом:</w:t>
      </w:r>
    </w:p>
    <w:p>
      <w:pPr>
        <w:pStyle w:val="ListParagrap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ar-SA"/>
        </w:rPr>
        <w:t>э.м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=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ar-SA"/>
        </w:rPr>
        <w:t>Н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*100%, где: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val="en-US" w:eastAsia="ar-SA"/>
        </w:rPr>
        <w:t>V</w:t>
      </w:r>
    </w:p>
    <w:p>
      <w:pPr>
        <w:pStyle w:val="Normal"/>
        <w:spacing w:lineRule="auto" w:line="240" w:before="280" w:after="0"/>
        <w:ind w:left="-14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H - количество разработанных электронных моделей территориальных схем;</w:t>
      </w:r>
    </w:p>
    <w:p>
      <w:pPr>
        <w:pStyle w:val="Normal"/>
        <w:spacing w:lineRule="auto" w:line="240" w:before="0" w:after="0"/>
        <w:ind w:left="-142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V</w:t>
      </w:r>
      <w:r>
        <w:rPr>
          <w:rFonts w:cs="Times New Roman" w:ascii="Times New Roman" w:hAnsi="Times New Roman"/>
          <w:sz w:val="28"/>
          <w:szCs w:val="28"/>
        </w:rPr>
        <w:t xml:space="preserve"> - общее количество электронных моделей территориальных схем, которые должны быть разработаны.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 с Минприроды России.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Доля твердых коммунальных отходов, направленных на обработку (сортировку), в общей массе образованных твердых коммунальных отходов,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(Д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н.о.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%),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определяется следующим образом: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786" w:hanging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н.о.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= (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о.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+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н.о.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) / (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обр.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+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eastAsia="ru-RU"/>
        </w:rPr>
        <w:t>перед.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)*100%, где: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786" w:hanging="0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-142" w:leader="none"/>
        </w:tabs>
        <w:suppressAutoHyphens w:val="true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</w:rPr>
        <w:t>о.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– количество обработанных (отсортированных) ТКО на объектах обработки, принадлежащих региональному оператору, операторам</w:t>
        <w:br/>
        <w:t>по обращению с ТКО, тонн;</w:t>
      </w:r>
    </w:p>
    <w:p>
      <w:pPr>
        <w:pStyle w:val="Normal"/>
        <w:tabs>
          <w:tab w:val="clear" w:pos="708"/>
          <w:tab w:val="left" w:pos="-142" w:leader="none"/>
        </w:tabs>
        <w:suppressAutoHyphens w:val="true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</w:rPr>
        <w:t xml:space="preserve"> н.о.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– количество ТКО, переданных региональным оператором, операторами по обращению с ТКО другим юридическим лицам и индивидуальным предпринимателям (операторам) для обработки (сортировки), тонн;</w:t>
      </w:r>
    </w:p>
    <w:p>
      <w:pPr>
        <w:pStyle w:val="Normal"/>
        <w:tabs>
          <w:tab w:val="clear" w:pos="708"/>
          <w:tab w:val="left" w:pos="-142" w:leader="none"/>
        </w:tabs>
        <w:suppressAutoHyphens w:val="true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</w:rPr>
        <w:t>обр.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- количество ТКО, образованных региональным оператором, операторами по обращению с ТКО, юридическими лицами с собственными объектами размещения отходов, тонн;</w:t>
      </w:r>
    </w:p>
    <w:p>
      <w:pPr>
        <w:pStyle w:val="Normal"/>
        <w:tabs>
          <w:tab w:val="clear" w:pos="708"/>
          <w:tab w:val="left" w:pos="-142" w:leader="none"/>
        </w:tabs>
        <w:suppressAutoHyphens w:val="true"/>
        <w:spacing w:lineRule="auto" w:line="240" w:before="0" w:after="0"/>
        <w:ind w:left="-142" w:hanging="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/>
        </w:rPr>
        <w:t>M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</w:rPr>
        <w:t>перед.</w:t>
      </w:r>
      <w:r>
        <w:rPr>
          <w:rFonts w:eastAsia="Times New Roman" w:cs="Times New Roman"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– количество ТКО, поступивших к региональному оператору, операторам по обращению с ТКО от юридических лиц, индивидуальных предпринимателей и населения, тонн.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 с Минприроды России.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cs="Times New Roman" w:ascii="Times New Roman" w:hAnsi="Times New Roman"/>
          <w:sz w:val="28"/>
          <w:szCs w:val="28"/>
        </w:rPr>
        <w:t>Закуплены контейнеры для раздельного накопления твердых коммунальных отходов, устанавливаемые на контейнерные площадки, включенные в реестр мест (площадок) накопления твердых коммунальных отходов</w:t>
      </w: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, шт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. 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Источником данных по показателю (индикатору) является Соглашение с Минприроды России.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 xml:space="preserve">Количество обустроенных контейнерных площадок (соответствующих требованиям к местам (площадкам) накопления отходов) для раздельного накопления твердых коммунальных отходов, шт. </w:t>
      </w:r>
    </w:p>
    <w:p>
      <w:pPr>
        <w:pStyle w:val="ListParagraph"/>
        <w:tabs>
          <w:tab w:val="clear" w:pos="708"/>
          <w:tab w:val="left" w:pos="-142" w:leader="none"/>
          <w:tab w:val="left" w:pos="284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ab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Источником данных по показателю (индикатору) является Соглашение</w:t>
        <w:br/>
        <w:t>с Минприроды России.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Количество населения, улучшившего экологические условия проживания вблизи водных объектов определяется как общее число жителей Брянской области, экологические условия проживания вблизи водотоков которых улучшатся в связи с реализацией мероприятий регионального проекта «Сохранение уникальных водных объектов (Брянская область)», млн. чел.</w:t>
      </w:r>
    </w:p>
    <w:p>
      <w:pPr>
        <w:pStyle w:val="ListParagraph"/>
        <w:spacing w:lineRule="auto" w:line="240" w:before="0" w:after="0"/>
        <w:contextualSpacing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-142" w:leader="none"/>
          <w:tab w:val="left" w:pos="0" w:leader="none"/>
          <w:tab w:val="left" w:pos="284" w:leader="none"/>
          <w:tab w:val="left" w:pos="567" w:leader="none"/>
        </w:tabs>
        <w:suppressAutoHyphens w:val="true"/>
        <w:spacing w:lineRule="auto" w:line="240" w:before="0" w:after="0"/>
        <w:ind w:left="-142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>Протяженность расчищенных участков русел рек определяется как общая протяженность водотоков, расчищенных в рамках реализации регионального проекта «Сохранение уникальных водных объектов (Брянская область)»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ar-SA"/>
        </w:rPr>
        <w:t>, км.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исполненных в отчетном периоде предписаний об устранении правонарушений от общего количества предписаний, которые должны быть исполнены в отчетном периоде, (B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по формуле: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Cs/>
          <w:sz w:val="28"/>
          <w:szCs w:val="28"/>
          <w:lang w:val="en-US"/>
        </w:rPr>
        <w:t>B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x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= B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y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/ B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z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x 100%, </w:t>
      </w:r>
      <w:r>
        <w:rPr>
          <w:rFonts w:cs="Times New Roman" w:ascii="Times New Roman" w:hAnsi="Times New Roman"/>
          <w:bCs/>
          <w:sz w:val="28"/>
          <w:szCs w:val="28"/>
        </w:rPr>
        <w:t>где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>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Cs/>
          <w:sz w:val="28"/>
          <w:szCs w:val="28"/>
          <w:lang w:val="en-US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B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исполненных в отчетном периоде предписаний, выданных</w:t>
        <w:br/>
        <w:t>по итогам проверок, шт.;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B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общее количество предписаний, которые должны быть исполнены</w:t>
        <w:br/>
        <w:t>в отчетном периоде по итогам проверок, шт.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проверок, по итогам которых выявлены правонарушения, (C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по формуле: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C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C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C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C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проверок, по итогам которых выявлены правонарушения, шт.;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C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общее количество проверок, проведенных в отчетном периоде, шт.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(Источником данных являются результаты соответствующих учетных мероприятий, проводимых ежегодно).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Ведение территориальных балансов запасов общераспространенных полезных ископаемых и составление годового баланса, определяется</w:t>
        <w:br/>
        <w:t>как количество изданных экземпляров территориальных балансов запасов общераспространенных полезных ископаемых и составление годового баланса, шт.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Количество территорий Брянской области, обследованных для оценки карстово-суффозионной опасности, определяется как количество территорий, на которых произведены работы по изучению карстово-суффозионных процессов, ед.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Количество гидротехнических сооружений с неудовлетворительным</w:t>
        <w:br/>
        <w:t>и опасным уровнем безопасности, приведенных в безопасное техническое состояние, определяется как количество завершенных в отчетном году мероприятий по капитальному ремонту гидротехнических сооружений, ед.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водозаборных сооружений, оснащенных системами учета воды,</w:t>
        <w:br/>
        <w:t>(H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H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H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H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H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водозаборных сооружений, оснащенных системами учета воды, нарастающим итогом на конец отчетного периода, ед.;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H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общее количество водозаборных сооружений, ед.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охотничьих хозяйств, охваченных внутрихозяйственным охотустройством (R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%),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R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R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R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R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охотничьих хозяйств в области, на территории которых проведено внутрихозяйственное охотустройство, шт.;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R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общее количество охотничьих хозяйств в области, шт.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Результат определяется по итогам плановых проверок юридических лиц</w:t>
        <w:br/>
        <w:t>и индивидуальных предпринимателей, проводимых ежегодно.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очистных сооружений, оборудованных средствами учета и контроля качества сбрасываемых сточных вод, (F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F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F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F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F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очистных сооружений, оборудованных средствами учета</w:t>
        <w:br/>
        <w:t>и контроля качества сбрасываемых сточных вод, на конец отчетного периода, ед.;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F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общее количество очистных сооружений, ед.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протяженности участков русел рек, на которых осуществлены работы по увеличению их пропускной способности, дноуглублению, спрямлению, расчистке от завалов к общей протяженности участков русел рек, нуждающихся в проведении противопаводковых мероприятий, (M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Cs/>
          <w:sz w:val="28"/>
          <w:szCs w:val="28"/>
          <w:lang w:val="en-US"/>
        </w:rPr>
        <w:t>M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x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= M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y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/ M</w:t>
      </w:r>
      <w:r>
        <w:rPr>
          <w:rFonts w:cs="Times New Roman" w:ascii="Times New Roman" w:hAnsi="Times New Roman"/>
          <w:bCs/>
          <w:sz w:val="28"/>
          <w:szCs w:val="28"/>
          <w:vertAlign w:val="subscript"/>
          <w:lang w:val="en-US"/>
        </w:rPr>
        <w:t>z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 xml:space="preserve"> x 100%, </w:t>
      </w:r>
      <w:r>
        <w:rPr>
          <w:rFonts w:cs="Times New Roman" w:ascii="Times New Roman" w:hAnsi="Times New Roman"/>
          <w:bCs/>
          <w:sz w:val="28"/>
          <w:szCs w:val="28"/>
        </w:rPr>
        <w:t>где</w:t>
      </w:r>
      <w:r>
        <w:rPr>
          <w:rFonts w:cs="Times New Roman" w:ascii="Times New Roman" w:hAnsi="Times New Roman"/>
          <w:bCs/>
          <w:sz w:val="28"/>
          <w:szCs w:val="28"/>
          <w:lang w:val="en-US"/>
        </w:rPr>
        <w:t>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cs="Times New Roman" w:ascii="Times New Roman" w:hAnsi="Times New Roman"/>
          <w:bCs/>
          <w:sz w:val="28"/>
          <w:szCs w:val="28"/>
          <w:lang w:val="en-US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M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протяженность расчищенных, углубленных, зарегулированных участков русел рек на конец отчетного периода, км;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M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протяженность участков русел рек, нуждающихся в увеличении пропускной способности (включая протяженность участков, на которых осуществлены соответствующие работы), км.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воздействие), (I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I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I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I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I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протяженность установленных (нанесенных на землеустроительные карты) водоохранных зон на конец отчетного периода, км;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I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общая протяженность береговой линии, требующей установления водоохранных зон (участков водных объектов, испытывающих антропогенное воздействие), км.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установленных (нанесенных на землеустроительные карты) границ водных объектов в протяженности береговых линий (границ водных объектов), требующих установления (Sx, %), определяется следующим образом: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Sx = Sy / Sz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Sy - протяженность установленных (нанесенных на землеустроительные карты) границ водных объектов (береговых линий), км;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Sz - общая протяженность береговых линий (границ водных объектов), требующих установления, км.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ab/>
        <w:t>Источником данных является ежегодная отчетность в Росводресурсы</w:t>
        <w:br/>
        <w:t>о достижении значений целевых прогнозных показателей по осуществлению переданных полномочий Российской Федерации в области водных отношений, реализация которых передана Брянской области.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Ввод в эксплуатацию объектов капитального строительства</w:t>
        <w:br/>
        <w:t>и реконструкции определяется количеством объектов капитального строительства и реконструкции, введенных в эксплуатацию в соответствии</w:t>
        <w:br/>
        <w:t>с актами ввода в эксплуатацию в текущем году, ед.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Доля установленных (нанесенных на землеустроительные карты) границ особо охраняемых природных территорий регионального значения (D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>, %) определяется по формуле: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D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x</w:t>
      </w:r>
      <w:r>
        <w:rPr>
          <w:rFonts w:cs="Times New Roman" w:ascii="Times New Roman" w:hAnsi="Times New Roman"/>
          <w:bCs/>
          <w:sz w:val="28"/>
          <w:szCs w:val="28"/>
        </w:rPr>
        <w:t xml:space="preserve"> = D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/ D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x 100%, где: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D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y</w:t>
      </w:r>
      <w:r>
        <w:rPr>
          <w:rFonts w:cs="Times New Roman" w:ascii="Times New Roman" w:hAnsi="Times New Roman"/>
          <w:bCs/>
          <w:sz w:val="28"/>
          <w:szCs w:val="28"/>
        </w:rPr>
        <w:t xml:space="preserve"> - количество установленных (нанесенных на землеустроительные карты) границ особо охраняемых природных территорий регионального значения Брянской области, ед.;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D</w:t>
      </w:r>
      <w:r>
        <w:rPr>
          <w:rFonts w:cs="Times New Roman" w:ascii="Times New Roman" w:hAnsi="Times New Roman"/>
          <w:bCs/>
          <w:sz w:val="28"/>
          <w:szCs w:val="28"/>
          <w:vertAlign w:val="subscript"/>
        </w:rPr>
        <w:t>z</w:t>
      </w:r>
      <w:r>
        <w:rPr>
          <w:rFonts w:cs="Times New Roman" w:ascii="Times New Roman" w:hAnsi="Times New Roman"/>
          <w:bCs/>
          <w:sz w:val="28"/>
          <w:szCs w:val="28"/>
        </w:rPr>
        <w:t xml:space="preserve"> - общее количество особо охраняемых природных территорий регионального значения Брянской области, ед.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Издание годового доклада о состоянии окружающей среды Брянской области определяется как количество изданных докладов о состоянии окружающей среды Брянской области в текущем году, ед.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ind w:left="-142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Количество надзорных мероприятий при осуществлении государственного экологического контроля объектов областного значения, в результате которых проведены исследования атмосферного воздуха, промышленных выбросов</w:t>
        <w:br/>
        <w:t>и сбросов, воды, почвы, определяется как количество проведенных проверок</w:t>
        <w:br/>
        <w:t>с соответствующими исследованиями, ед.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284" w:leader="none"/>
        </w:tabs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Отчет по результатам проведения государственного мониторинга водных объектов, определяется как количество отчетов по результатам мониторинга водных объектов Брянской области, ед. </w:t>
      </w:r>
    </w:p>
    <w:sectPr>
      <w:headerReference w:type="default" r:id="rId2"/>
      <w:footerReference w:type="default" r:id="rId3"/>
      <w:type w:val="nextPage"/>
      <w:pgSz w:w="11906" w:h="16838"/>
      <w:pgMar w:left="1701" w:right="851" w:header="709" w:top="1134" w:footer="709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71578354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661c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fa56a9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link w:val="a6"/>
    <w:uiPriority w:val="99"/>
    <w:semiHidden/>
    <w:qFormat/>
    <w:rsid w:val="005e603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5e603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7661c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5748d5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fa56a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semiHidden/>
    <w:unhideWhenUsed/>
    <w:rsid w:val="005e603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5e603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LibreOffice/7.0.1.2$Windows_X86_64 LibreOffice_project/7cbcfc562f6eb6708b5ff7d7397325de9e764452</Application>
  <Pages>10</Pages>
  <Words>2078</Words>
  <Characters>14991</Characters>
  <CharactersWithSpaces>17014</CharactersWithSpaces>
  <Paragraphs>129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2021-08-19T06:24:00Z</dcterms:created>
  <dc:creator>Mujmarov</dc:creator>
  <dc:description/>
  <dc:language>ru-RU</dc:language>
  <cp:lastModifiedBy/>
  <cp:lastPrinted>2020-12-18T09:07:00Z</cp:lastPrinted>
  <dcterms:modified xsi:type="dcterms:W3CDTF">2021-10-25T16:13:13Z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